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184" w:rsidRDefault="001C118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C1184" w:rsidRDefault="001C1184">
      <w:pPr>
        <w:pStyle w:val="ConsPlusNormal"/>
        <w:jc w:val="both"/>
        <w:outlineLvl w:val="0"/>
      </w:pPr>
    </w:p>
    <w:p w:rsidR="001C1184" w:rsidRDefault="001C1184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1C1184" w:rsidRDefault="001C1184">
      <w:pPr>
        <w:pStyle w:val="ConsPlusTitle"/>
        <w:jc w:val="center"/>
      </w:pPr>
    </w:p>
    <w:p w:rsidR="001C1184" w:rsidRDefault="001C1184">
      <w:pPr>
        <w:pStyle w:val="ConsPlusTitle"/>
        <w:jc w:val="center"/>
      </w:pPr>
      <w:r>
        <w:t>ПОСТАНОВЛЕНИЕ</w:t>
      </w:r>
    </w:p>
    <w:p w:rsidR="001C1184" w:rsidRDefault="001C1184">
      <w:pPr>
        <w:pStyle w:val="ConsPlusTitle"/>
        <w:jc w:val="center"/>
      </w:pPr>
      <w:r>
        <w:t>от 3 декабря 2013 г. N 1092</w:t>
      </w:r>
    </w:p>
    <w:p w:rsidR="001C1184" w:rsidRDefault="001C1184">
      <w:pPr>
        <w:pStyle w:val="ConsPlusTitle"/>
        <w:jc w:val="center"/>
      </w:pPr>
    </w:p>
    <w:p w:rsidR="001C1184" w:rsidRDefault="001C1184">
      <w:pPr>
        <w:pStyle w:val="ConsPlusTitle"/>
        <w:jc w:val="center"/>
      </w:pPr>
      <w:r>
        <w:t>ОБ УТВЕРЖДЕНИИ ПРОЕКТА ПЛАНИРОВКИ ТЕРРИТОРИИ МИКРОРАЙОНА,</w:t>
      </w:r>
    </w:p>
    <w:p w:rsidR="001C1184" w:rsidRDefault="001C1184">
      <w:pPr>
        <w:pStyle w:val="ConsPlusTitle"/>
        <w:jc w:val="center"/>
      </w:pPr>
      <w:r>
        <w:t>ПРИЛЕГАЮЩЕГО К ПЕР. ГАЗОВЫЙ - УЛ. ГАЗОВАЯ, В ГОРОДСКОМ</w:t>
      </w:r>
    </w:p>
    <w:p w:rsidR="001C1184" w:rsidRDefault="001C1184">
      <w:pPr>
        <w:pStyle w:val="ConsPlusTitle"/>
        <w:jc w:val="center"/>
      </w:pPr>
      <w:r>
        <w:t>ОКРУГЕ ГОРОД ВОРОНЕЖ</w:t>
      </w:r>
    </w:p>
    <w:p w:rsidR="001C1184" w:rsidRDefault="001C1184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C118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184" w:rsidRDefault="001C118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184" w:rsidRDefault="001C118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1184" w:rsidRDefault="001C118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C1184" w:rsidRDefault="001C1184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постановление администрации городского округа город Воронеж N 1011 издано 27.11.2012, а не 27.10.2012.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184" w:rsidRDefault="001C1184">
            <w:pPr>
              <w:pStyle w:val="ConsPlusNormal"/>
            </w:pPr>
          </w:p>
        </w:tc>
      </w:tr>
    </w:tbl>
    <w:p w:rsidR="001C1184" w:rsidRDefault="001C1184">
      <w:pPr>
        <w:pStyle w:val="ConsPlusNormal"/>
        <w:spacing w:before="280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 от 29.12.2004 N 190-ФЗ,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16.10.2003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в связи</w:t>
      </w:r>
      <w:proofErr w:type="gramEnd"/>
      <w:r>
        <w:t xml:space="preserve"> </w:t>
      </w:r>
      <w:proofErr w:type="gramStart"/>
      <w:r>
        <w:t xml:space="preserve">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27.10.2012 N 1011 "О подготовке проекта планировки территории микрорайона, прилегающего к пер. Газовый - ул. Газовая, в городском округе город Воронеж", с учетом заключения от 20.08.2013 о результатах публичных слушаний по проекту планировки территории микрорайона, прилегающего к пер. Газовый - ул. Газовая, в городском округе город Воронеж, администрация городского округа город Воронеж постановляет:</w:t>
      </w:r>
      <w:proofErr w:type="gramEnd"/>
    </w:p>
    <w:p w:rsidR="001C1184" w:rsidRDefault="001C1184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9">
        <w:r>
          <w:rPr>
            <w:color w:val="0000FF"/>
          </w:rPr>
          <w:t>проект</w:t>
        </w:r>
      </w:hyperlink>
      <w:r>
        <w:t xml:space="preserve"> планировки территории микрорайона, прилегающего к пер. Газовый - ул. </w:t>
      </w:r>
      <w:proofErr w:type="gramStart"/>
      <w:r>
        <w:t>Газовая</w:t>
      </w:r>
      <w:proofErr w:type="gramEnd"/>
      <w:r>
        <w:t>, в городском округе город Воронеж.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C1184" w:rsidRDefault="001C1184">
      <w:pPr>
        <w:pStyle w:val="ConsPlusNormal"/>
        <w:jc w:val="right"/>
      </w:pPr>
      <w:r>
        <w:t>округа город Воронеж</w:t>
      </w:r>
    </w:p>
    <w:p w:rsidR="001C1184" w:rsidRDefault="001C1184">
      <w:pPr>
        <w:pStyle w:val="ConsPlusNormal"/>
        <w:jc w:val="right"/>
      </w:pPr>
      <w:r>
        <w:t>А.В.ГУСЕВ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right"/>
        <w:outlineLvl w:val="0"/>
      </w:pPr>
      <w:r>
        <w:t>Утвержден</w:t>
      </w:r>
    </w:p>
    <w:p w:rsidR="001C1184" w:rsidRDefault="001C1184">
      <w:pPr>
        <w:pStyle w:val="ConsPlusNormal"/>
        <w:jc w:val="right"/>
      </w:pPr>
      <w:r>
        <w:t>постановлением</w:t>
      </w:r>
    </w:p>
    <w:p w:rsidR="001C1184" w:rsidRDefault="001C1184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1C1184" w:rsidRDefault="001C1184">
      <w:pPr>
        <w:pStyle w:val="ConsPlusNormal"/>
        <w:jc w:val="right"/>
      </w:pPr>
      <w:r>
        <w:t>округа город Воронеж</w:t>
      </w:r>
    </w:p>
    <w:p w:rsidR="001C1184" w:rsidRDefault="001C1184">
      <w:pPr>
        <w:pStyle w:val="ConsPlusNormal"/>
        <w:jc w:val="right"/>
      </w:pPr>
      <w:r>
        <w:t>от 03.12.2013 N 1092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Title"/>
        <w:jc w:val="center"/>
      </w:pPr>
      <w:bookmarkStart w:id="0" w:name="P29"/>
      <w:bookmarkEnd w:id="0"/>
      <w:r>
        <w:t>ПРОЕКТ</w:t>
      </w:r>
    </w:p>
    <w:p w:rsidR="001C1184" w:rsidRDefault="001C1184">
      <w:pPr>
        <w:pStyle w:val="ConsPlusTitle"/>
        <w:jc w:val="center"/>
      </w:pPr>
      <w:r>
        <w:t>ПЛАНИРОВКИ ТЕРРИТОРИИ МИКРОРАЙОНА, ПРИЛЕГАЮЩЕГО</w:t>
      </w:r>
    </w:p>
    <w:p w:rsidR="001C1184" w:rsidRDefault="001C1184">
      <w:pPr>
        <w:pStyle w:val="ConsPlusTitle"/>
        <w:jc w:val="center"/>
      </w:pPr>
      <w:r>
        <w:t xml:space="preserve">К ПЕР. </w:t>
      </w:r>
      <w:proofErr w:type="gramStart"/>
      <w:r>
        <w:t>ГАЗОВЫЙ</w:t>
      </w:r>
      <w:proofErr w:type="gramEnd"/>
      <w:r>
        <w:t xml:space="preserve"> - УЛ. ГАЗОВАЯ, В ГОРОДСКОМ ОКРУГЕ</w:t>
      </w:r>
    </w:p>
    <w:p w:rsidR="001C1184" w:rsidRDefault="001C1184">
      <w:pPr>
        <w:pStyle w:val="ConsPlusTitle"/>
        <w:jc w:val="center"/>
      </w:pPr>
      <w:r>
        <w:t>ГОРОД ВОРОНЕЖ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1. </w:t>
      </w:r>
      <w:hyperlink w:anchor="P52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 микрорайона, прилегающего к пер. Газовый - ул. </w:t>
      </w:r>
      <w:proofErr w:type="gramStart"/>
      <w:r>
        <w:t>Газовая</w:t>
      </w:r>
      <w:proofErr w:type="gramEnd"/>
      <w:r>
        <w:t>, в городском округе город Воронеж (приложение N 1).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lastRenderedPageBreak/>
        <w:t xml:space="preserve">2. Чертеж планировки территории микрорайона, прилегающего к пер. Газовый - ул. </w:t>
      </w:r>
      <w:proofErr w:type="gramStart"/>
      <w:r>
        <w:t>Газовая</w:t>
      </w:r>
      <w:proofErr w:type="gramEnd"/>
      <w:r>
        <w:t>, в городском округе город Воронеж (приложение N 2 - не приводится).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right"/>
      </w:pPr>
      <w:r>
        <w:t>Руководитель управления</w:t>
      </w:r>
    </w:p>
    <w:p w:rsidR="001C1184" w:rsidRDefault="001C1184">
      <w:pPr>
        <w:pStyle w:val="ConsPlusNormal"/>
        <w:jc w:val="right"/>
      </w:pPr>
      <w:r>
        <w:t>главного архитектора городского округа</w:t>
      </w:r>
    </w:p>
    <w:p w:rsidR="001C1184" w:rsidRDefault="001C1184">
      <w:pPr>
        <w:pStyle w:val="ConsPlusNormal"/>
        <w:jc w:val="right"/>
      </w:pPr>
      <w:r>
        <w:t>А.В.ШЕВЕЛЕВ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right"/>
        <w:outlineLvl w:val="1"/>
      </w:pPr>
      <w:r>
        <w:t>Приложение N 1</w:t>
      </w:r>
    </w:p>
    <w:p w:rsidR="001C1184" w:rsidRDefault="001C1184">
      <w:pPr>
        <w:pStyle w:val="ConsPlusNormal"/>
        <w:jc w:val="right"/>
      </w:pPr>
      <w:r>
        <w:t>к проекту</w:t>
      </w:r>
    </w:p>
    <w:p w:rsidR="001C1184" w:rsidRDefault="001C1184">
      <w:pPr>
        <w:pStyle w:val="ConsPlusNormal"/>
        <w:jc w:val="right"/>
      </w:pPr>
      <w:r>
        <w:t>планировки территории</w:t>
      </w:r>
    </w:p>
    <w:p w:rsidR="001C1184" w:rsidRDefault="001C1184">
      <w:pPr>
        <w:pStyle w:val="ConsPlusNormal"/>
        <w:jc w:val="right"/>
      </w:pPr>
      <w:r>
        <w:t>микрорайона, прилегающего</w:t>
      </w:r>
    </w:p>
    <w:p w:rsidR="001C1184" w:rsidRDefault="001C1184">
      <w:pPr>
        <w:pStyle w:val="ConsPlusNormal"/>
        <w:jc w:val="right"/>
      </w:pPr>
      <w:r>
        <w:t>к пер. Газовый - ул. Газовая,</w:t>
      </w:r>
    </w:p>
    <w:p w:rsidR="001C1184" w:rsidRDefault="001C1184">
      <w:pPr>
        <w:pStyle w:val="ConsPlusNormal"/>
        <w:jc w:val="right"/>
      </w:pPr>
      <w:r>
        <w:t>в городском округе город Воронеж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</w:pPr>
      <w:bookmarkStart w:id="1" w:name="P52"/>
      <w:bookmarkEnd w:id="1"/>
      <w:r>
        <w:t>Положение</w:t>
      </w:r>
    </w:p>
    <w:p w:rsidR="001C1184" w:rsidRDefault="001C1184">
      <w:pPr>
        <w:pStyle w:val="ConsPlusNormal"/>
        <w:jc w:val="center"/>
      </w:pPr>
      <w:r>
        <w:t>о размещении объектов капитального строительства и</w:t>
      </w:r>
    </w:p>
    <w:p w:rsidR="001C1184" w:rsidRDefault="001C1184">
      <w:pPr>
        <w:pStyle w:val="ConsPlusNormal"/>
        <w:jc w:val="center"/>
      </w:pPr>
      <w:proofErr w:type="gramStart"/>
      <w:r>
        <w:t>характеристиках</w:t>
      </w:r>
      <w:proofErr w:type="gramEnd"/>
      <w:r>
        <w:t xml:space="preserve"> планируемого развития территории</w:t>
      </w:r>
    </w:p>
    <w:p w:rsidR="001C1184" w:rsidRDefault="001C1184">
      <w:pPr>
        <w:pStyle w:val="ConsPlusNormal"/>
        <w:jc w:val="center"/>
      </w:pPr>
      <w:r>
        <w:t xml:space="preserve">микрорайона, прилегающего к пер. </w:t>
      </w:r>
      <w:proofErr w:type="gramStart"/>
      <w:r>
        <w:t>Газовый</w:t>
      </w:r>
      <w:proofErr w:type="gramEnd"/>
      <w:r>
        <w:t xml:space="preserve"> - ул. Газовая,</w:t>
      </w:r>
    </w:p>
    <w:p w:rsidR="001C1184" w:rsidRDefault="001C1184">
      <w:pPr>
        <w:pStyle w:val="ConsPlusNormal"/>
        <w:jc w:val="center"/>
      </w:pPr>
      <w:r>
        <w:t>в городском округе город Воронеж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2"/>
      </w:pPr>
      <w:r>
        <w:t>1. Общие положения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микрорайона, прилегающего к пер. Газовый - ул. Газовая, в городском округе город Воронеж (далее - проект планировки территории, проектируемая территория), подготовлен на основании Генерального </w:t>
      </w:r>
      <w:hyperlink r:id="rId11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 декабря 2008 года N 422-II "Об утверждении Генерального плана городского округа город Воронеж" (далее - Генеральный план), </w:t>
      </w:r>
      <w:hyperlink r:id="rId12">
        <w:r>
          <w:rPr>
            <w:color w:val="0000FF"/>
          </w:rPr>
          <w:t>плана</w:t>
        </w:r>
      </w:hyperlink>
      <w:r>
        <w:t xml:space="preserve"> реализации Генерального плана городского округа город</w:t>
      </w:r>
      <w:proofErr w:type="gramEnd"/>
      <w:r>
        <w:t xml:space="preserve"> </w:t>
      </w:r>
      <w:proofErr w:type="gramStart"/>
      <w:r>
        <w:t xml:space="preserve">Воронеж на период с 2009 по 2011 годы, утвержденного постановлением главы городского округа город Воронеж от 8 июня 2009 года N 441 "О плане реализации Генерального плана городского округа город Воронеж на период с 2009 по 2011 годы" (далее - План реализации Генерального плана), а также </w:t>
      </w:r>
      <w:hyperlink r:id="rId13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</w:t>
      </w:r>
      <w:proofErr w:type="gramEnd"/>
      <w:r>
        <w:t xml:space="preserve"> декабря 2009 года N 384-II "Об утверждении Правил землепользования и застройки городского округа город Воронеж" (далее - Правила землепользования и застройки), в соответствии с требованиями Градостроительного </w:t>
      </w:r>
      <w:hyperlink r:id="rId14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Подготовка документации по планировке территории осуществляется в целях обеспечения устойчивого развития территории,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участков.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 xml:space="preserve"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</w:t>
      </w:r>
      <w:r>
        <w:lastRenderedPageBreak/>
        <w:t>учитываться при разработке проектов межевания территории, а также для последующих стадий архитектурно-строительного проектирования и строительства отдельных объектов.</w:t>
      </w:r>
    </w:p>
    <w:p w:rsidR="001C1184" w:rsidRDefault="001C1184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положения настоящего проекта планировки территории в соответствии с требованиями технических регламентов, региональных </w:t>
      </w:r>
      <w:hyperlink r:id="rId15">
        <w:r>
          <w:rPr>
            <w:color w:val="0000FF"/>
          </w:rPr>
          <w:t>нормативов</w:t>
        </w:r>
      </w:hyperlink>
      <w:r>
        <w:t xml:space="preserve"> градостроительного проектирования "Планировка жилых, общественно-деловых и рекреационных зон населенных пунктов Воронежской области", утвержденных приказом управления архитектуры и градостроительства Воронежской области от 17 апреля 2008 года N 9-п "Об утверждении регионального норматива градостроительного проектирования" (далее - региональный градостроительный норматив), и местного </w:t>
      </w:r>
      <w:hyperlink r:id="rId16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</w:t>
      </w:r>
      <w:proofErr w:type="gramEnd"/>
      <w:r>
        <w:t xml:space="preserve"> "Планировка жилых, общественно-деловых и рекреационных зон городского округа город Воронеж", утвержденного постановлением администрации городского округа город Воронеж от 26 июля 2010 года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(далее - местный градостроительный норматив).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2"/>
      </w:pPr>
      <w:r>
        <w:t>2. Современное использование проектной территории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Проектируемая территория площадью 7,4 га расположена в Советском районе городского округа город Воронеж, </w:t>
      </w:r>
      <w:proofErr w:type="gramStart"/>
      <w:r>
        <w:t>примыкает к пер</w:t>
      </w:r>
      <w:proofErr w:type="gramEnd"/>
      <w:r>
        <w:t>. Автоматчиков, ул. Газовая.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На рассматриваемой территории установлены границы земельных участков, на которых расположены или намечены к размещению объекты капитального строительства.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 xml:space="preserve">Генеральным </w:t>
      </w:r>
      <w:hyperlink r:id="rId17">
        <w:r>
          <w:rPr>
            <w:color w:val="0000FF"/>
          </w:rPr>
          <w:t>планом</w:t>
        </w:r>
      </w:hyperlink>
      <w:r>
        <w:t xml:space="preserve"> городского округа город Воронеж планируемая территория определена как зона планируемой многоэтажной застройки, этажностью 7 этажей и выше.</w:t>
      </w:r>
    </w:p>
    <w:p w:rsidR="001C1184" w:rsidRDefault="001C1184">
      <w:pPr>
        <w:pStyle w:val="ConsPlusNormal"/>
        <w:spacing w:before="220"/>
        <w:ind w:firstLine="540"/>
        <w:jc w:val="both"/>
      </w:pPr>
      <w:proofErr w:type="gramStart"/>
      <w:r>
        <w:t>Согласно карты</w:t>
      </w:r>
      <w:proofErr w:type="gramEnd"/>
      <w:r>
        <w:t xml:space="preserve"> градостроительного зонирования, планируемая территория расположена в двух территориальных зонах: </w:t>
      </w:r>
      <w:hyperlink r:id="rId18">
        <w:r>
          <w:rPr>
            <w:color w:val="0000FF"/>
          </w:rPr>
          <w:t>Ж 10</w:t>
        </w:r>
      </w:hyperlink>
      <w:r>
        <w:t xml:space="preserve"> - зона развития многоэтажной жилой застройки и </w:t>
      </w:r>
      <w:hyperlink r:id="rId19">
        <w:proofErr w:type="gramStart"/>
        <w:r>
          <w:rPr>
            <w:color w:val="0000FF"/>
          </w:rPr>
          <w:t>П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зона промышленных и коммунальных предприятий.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В соответствии с выпиской из государственного реестра объектов культурного наследия (памятников истории и культуры по городскому округу город Воронеж) на проектируемой территории отсутствуют здания памятников истории и культуры.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Кроме того, следует учитывать, что проектируемая территория находится в зоне влияния аэродромов "Балтимор", и ОАО "ВАСО", и ОАО "Воронежавиа".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Вывод: рассматриваемая территория микрорайона пригодна для проектирования и строительства многоэтажной жилой застройки и объектов обслуживания, при условии соблюдения действующих норм и правил.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2"/>
      </w:pPr>
      <w:r>
        <w:t xml:space="preserve">3. Основные направления развития </w:t>
      </w:r>
      <w:proofErr w:type="gramStart"/>
      <w:r>
        <w:t>архитектурно-планировочной</w:t>
      </w:r>
      <w:proofErr w:type="gramEnd"/>
      <w:r>
        <w:t>,</w:t>
      </w:r>
    </w:p>
    <w:p w:rsidR="001C1184" w:rsidRDefault="001C1184">
      <w:pPr>
        <w:pStyle w:val="ConsPlusNormal"/>
        <w:jc w:val="center"/>
      </w:pPr>
      <w:r>
        <w:t>функционально-пространственной и транспортной</w:t>
      </w:r>
    </w:p>
    <w:p w:rsidR="001C1184" w:rsidRDefault="001C1184">
      <w:pPr>
        <w:pStyle w:val="ConsPlusNormal"/>
        <w:jc w:val="center"/>
      </w:pPr>
      <w:r>
        <w:t>структуры территории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Основные решения по развитию проектируемой территории приняты с учетом установленных </w:t>
      </w:r>
      <w:hyperlink r:id="rId20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городского округа город Воронеж ограничений и регламентов использования земельных участков и объектов капитального строительства.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 xml:space="preserve">Генеральным </w:t>
      </w:r>
      <w:hyperlink r:id="rId21">
        <w:r>
          <w:rPr>
            <w:color w:val="0000FF"/>
          </w:rPr>
          <w:t>планом</w:t>
        </w:r>
      </w:hyperlink>
      <w:r>
        <w:t xml:space="preserve"> городского округа город Воронеж (основной чертеж) планировочная структура рассматриваемой территории выявлена не достаточно четко.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lastRenderedPageBreak/>
        <w:t>Анализ существующего состояния территории, сложившегося зонирования, расположения участков предприятий, характера начатого освоения под многоэтажную застройку позволяет объективно оценить возможности развития проектируемой территории.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Исходя из основной цели проекта планировки - выделение элементов планировочной структуры территории, в соответствии с п. 4 Задания на подготовку проекта планировки, уточнены границы элемента планировочной структуры на рассматриваемой территории.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Территория микрорайона определена в границах красных линий прилегающей улично-дорожной сети: ул. Газовая, вновь проектируемая магистраль, являющаяся продолжением ул. Песчаная, и пер. Автоматчиков, где уже определены земельные участки под строительство, - и составляет 5,5 га.</w:t>
      </w:r>
    </w:p>
    <w:p w:rsidR="001C1184" w:rsidRDefault="001C1184">
      <w:pPr>
        <w:pStyle w:val="ConsPlusNormal"/>
        <w:spacing w:before="220"/>
        <w:ind w:firstLine="540"/>
        <w:jc w:val="both"/>
      </w:pPr>
      <w:proofErr w:type="gramStart"/>
      <w:r>
        <w:t xml:space="preserve">Исходя из положений местного норматива градостроительного проектирования "Планировка жилых, общественно-деловых и рекреационных зон городского округа город Воронеж" </w:t>
      </w:r>
      <w:hyperlink r:id="rId22">
        <w:r>
          <w:rPr>
            <w:color w:val="0000FF"/>
          </w:rPr>
          <w:t>п. 2.2.1</w:t>
        </w:r>
      </w:hyperlink>
      <w:r>
        <w:t xml:space="preserve"> "При разработке документов по планировке территории на отдельный участок территории, занимающий часть территории квартала или микрорайона, необходимо обеспечить совместимость размещаемых объектов с окружающей застройкой и требуемый уровень социального и культурно-бытового обслуживания населения для квартала (микрорайона) в целом", в границах намечаемого микрорайона</w:t>
      </w:r>
      <w:proofErr w:type="gramEnd"/>
      <w:r>
        <w:t xml:space="preserve"> выполнены расчеты населения, объемов жилищного фонда и объектов обслуживания.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Структуру территории микрорайона составляют: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зона планируемого размещения многоэтажной жилой застройки;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зона планируемого размещения объекта дошкольного образования;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зона общественно-деловой застройки;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зона коммунального назначения;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зона зеленых насаждений общего пользования.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 xml:space="preserve">Согласно основным положениям Генерального </w:t>
      </w:r>
      <w:hyperlink r:id="rId23">
        <w:r>
          <w:rPr>
            <w:color w:val="0000FF"/>
          </w:rPr>
          <w:t>плана</w:t>
        </w:r>
      </w:hyperlink>
      <w:r>
        <w:t xml:space="preserve"> городского округа город Воронеж при освоении проектируемой территории предлагается размещение многоэтажной жилой застройки.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3"/>
      </w:pPr>
      <w:r>
        <w:t>Основные направления развития</w:t>
      </w:r>
    </w:p>
    <w:p w:rsidR="001C1184" w:rsidRDefault="001C1184">
      <w:pPr>
        <w:pStyle w:val="ConsPlusNormal"/>
        <w:jc w:val="center"/>
      </w:pPr>
      <w:r>
        <w:t>транспортного обслуживания территории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Проект планировки сохраняет и развивает в своей основе сложившуюся структуру улиц на прилегающих территориях, учитывает природно-климатические и ландшафтные условия. Основой системы транспортного обслуживания планируемой территории является транспортная схема района, утвержденная в составе Генерального </w:t>
      </w:r>
      <w:hyperlink r:id="rId24">
        <w:r>
          <w:rPr>
            <w:color w:val="0000FF"/>
          </w:rPr>
          <w:t>плана</w:t>
        </w:r>
      </w:hyperlink>
      <w:r>
        <w:t xml:space="preserve"> г.о. г. Воронеж.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Транспортная связь между элементами планировочной структуры предусмотрена по существующим улицам и дорогам следующих категорий:</w:t>
      </w:r>
    </w:p>
    <w:p w:rsidR="001C1184" w:rsidRDefault="001C1184">
      <w:pPr>
        <w:pStyle w:val="ConsPlusNormal"/>
        <w:spacing w:before="220"/>
        <w:ind w:firstLine="540"/>
        <w:jc w:val="both"/>
      </w:pPr>
      <w:proofErr w:type="gramStart"/>
      <w:r>
        <w:t>- Магистральные улицы районного значения - ул. Песчаная, ул. Газовая, обеспечивающие пешеходную и транспортную связь в пределах жилого района, а также выходы на другие магистральные улицы:</w:t>
      </w:r>
      <w:proofErr w:type="gramEnd"/>
      <w:r>
        <w:t xml:space="preserve"> Машиностроителей, 9 Января, Героев Сибиряков.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 xml:space="preserve">- Улицы и дороги местного значения, обеспечивающие </w:t>
      </w:r>
      <w:proofErr w:type="gramStart"/>
      <w:r>
        <w:t>транспортную</w:t>
      </w:r>
      <w:proofErr w:type="gramEnd"/>
      <w:r>
        <w:t xml:space="preserve"> и пешеходную связи на территории жилого района, а также обеспечивающие выходы на общегородские и районные магистрали: ул. Малаховского, пер. Газовый, пер. Автоматчиков.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lastRenderedPageBreak/>
        <w:t>На проектируемое количество квартир массового (эконом-класс) типа - 1497, необходимо разместить 1800 машино/мест для постоянного хранения автотранспорта (при норме 1,2 машино-мест на квартиру) и для временного хранения автотранспорта - 359 машино/мест (при норме 0,24 машино-мест на квартиру).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 xml:space="preserve">Автостоянки на 1800 машино/мест для постоянного хранения автотранспорта предлагается выполнить </w:t>
      </w:r>
      <w:proofErr w:type="gramStart"/>
      <w:r>
        <w:t>подземными</w:t>
      </w:r>
      <w:proofErr w:type="gramEnd"/>
      <w:r>
        <w:t xml:space="preserve"> двухуровневыми и открытыми надземными и разместить на двух площадках: первая на 1100 мест располагается в южной части проектируемого жилого квартала, вторая на 700 машино/мест расположена в западной части проектируемой территории. Автостоянка для временного хранения на 299 мест расположена в западной части проектируемой территории, остальные 60 мест расположены непосредственно на территории жилого квартала.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2"/>
      </w:pPr>
      <w:r>
        <w:t>4. Основные параметры планируемых объектов</w:t>
      </w:r>
    </w:p>
    <w:p w:rsidR="001C1184" w:rsidRDefault="001C1184">
      <w:pPr>
        <w:pStyle w:val="ConsPlusNormal"/>
        <w:jc w:val="center"/>
      </w:pPr>
      <w:r>
        <w:t>капитального строительства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3"/>
      </w:pPr>
      <w:r>
        <w:t>4.1. Жилищное строительство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>Общий объем жилищного фонда в границах проектируемого микрорайона на расчетный срок составит 71,2 тыс. кв. м общей площади квартир на территории 5,0 га.</w:t>
      </w:r>
    </w:p>
    <w:p w:rsidR="001C1184" w:rsidRDefault="001C1184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25">
        <w:r>
          <w:rPr>
            <w:color w:val="0000FF"/>
          </w:rPr>
          <w:t>табл. 2 п. 2.3</w:t>
        </w:r>
      </w:hyperlink>
      <w:r>
        <w:t xml:space="preserve"> местного норматива градостроительного проектирования "Планировка жилых, общественно-деловых и рекреационных зон городского округа город Воронеж", утвержденного постановлением администрации городского округа город Воронеж от 26.07.2010 N 650, проектом планировки предусмотрено на территории, предполагаемой для жилищного строительства, площадью 5,5 га при плотности застройки 13,000 кв. м/га общая площадь проектируемой застройки (фонд) составит 71200,0 кв. м. Новое жилищное</w:t>
      </w:r>
      <w:proofErr w:type="gramEnd"/>
      <w:r>
        <w:t xml:space="preserve"> строительство составит 63700,0 кв. м жилого фонда. С учетом жилищной обеспеченности 30 кв. м/чел., население нового жилого фонда составит 2123 человек, количество квартир - 1497. Процент застроенности территории составит 22%.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На первую очередь строительства предусматривается размещение на земельном участке площадью 1,6 га многоэтажных секционных жилых домов 10 - 17 этажей. Объем жилищного строительства на первую очередь строительства составит 24,2 тыс. кв. м. Численность населения на первую очередь строительства ориентировочно составит 807 чел.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4"/>
      </w:pPr>
      <w:r>
        <w:t>Технико-экономические показатели дворовой территории</w:t>
      </w:r>
    </w:p>
    <w:p w:rsidR="001C1184" w:rsidRDefault="001C118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051"/>
        <w:gridCol w:w="2156"/>
        <w:gridCol w:w="1551"/>
        <w:gridCol w:w="1677"/>
      </w:tblGrid>
      <w:tr w:rsidR="001C1184">
        <w:trPr>
          <w:trHeight w:val="223"/>
        </w:trPr>
        <w:tc>
          <w:tcPr>
            <w:tcW w:w="4148" w:type="dxa"/>
            <w:vMerge w:val="restart"/>
          </w:tcPr>
          <w:p w:rsidR="001C1184" w:rsidRDefault="001C1184">
            <w:pPr>
              <w:pStyle w:val="ConsPlusNonformat"/>
              <w:jc w:val="both"/>
            </w:pPr>
            <w:r>
              <w:t xml:space="preserve">            Площадки            </w:t>
            </w:r>
          </w:p>
        </w:tc>
        <w:tc>
          <w:tcPr>
            <w:tcW w:w="2196" w:type="dxa"/>
            <w:vMerge w:val="restart"/>
          </w:tcPr>
          <w:p w:rsidR="001C1184" w:rsidRDefault="001C1184">
            <w:pPr>
              <w:pStyle w:val="ConsPlusNonformat"/>
              <w:jc w:val="both"/>
            </w:pPr>
            <w:r>
              <w:t>Удельные размеры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площадок, кв.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    </w:t>
            </w:r>
            <w:proofErr w:type="gramStart"/>
            <w:r>
              <w:t>м</w:t>
            </w:r>
            <w:proofErr w:type="gramEnd"/>
            <w:r>
              <w:t xml:space="preserve">/чел.     </w:t>
            </w:r>
          </w:p>
        </w:tc>
        <w:tc>
          <w:tcPr>
            <w:tcW w:w="3294" w:type="dxa"/>
            <w:gridSpan w:val="2"/>
          </w:tcPr>
          <w:p w:rsidR="001C1184" w:rsidRDefault="001C1184">
            <w:pPr>
              <w:pStyle w:val="ConsPlusNonformat"/>
              <w:jc w:val="both"/>
            </w:pPr>
            <w:r>
              <w:t>Проектное решение, кв. м</w:t>
            </w:r>
          </w:p>
        </w:tc>
      </w:tr>
      <w:tr w:rsidR="001C1184"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158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Всего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I очередь  </w:t>
            </w:r>
          </w:p>
        </w:tc>
      </w:tr>
      <w:tr w:rsidR="001C1184">
        <w:trPr>
          <w:trHeight w:val="223"/>
        </w:trPr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Для  игр  детей  </w:t>
            </w:r>
            <w:proofErr w:type="gramStart"/>
            <w:r>
              <w:t>дошкольного</w:t>
            </w:r>
            <w:proofErr w:type="gramEnd"/>
            <w:r>
              <w:t xml:space="preserve">   и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младшего школьного возраста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  0,7       </w:t>
            </w:r>
          </w:p>
        </w:tc>
        <w:tc>
          <w:tcPr>
            <w:tcW w:w="158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1661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564,9    </w:t>
            </w:r>
          </w:p>
        </w:tc>
      </w:tr>
      <w:tr w:rsidR="001C1184">
        <w:trPr>
          <w:trHeight w:val="223"/>
        </w:trPr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Для отдыха взрослого населения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  0,1       </w:t>
            </w:r>
          </w:p>
        </w:tc>
        <w:tc>
          <w:tcPr>
            <w:tcW w:w="158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237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80,7    </w:t>
            </w:r>
          </w:p>
        </w:tc>
      </w:tr>
      <w:tr w:rsidR="001C1184">
        <w:trPr>
          <w:trHeight w:val="223"/>
        </w:trPr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Для занятий физкультурой   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  2,0       </w:t>
            </w:r>
          </w:p>
        </w:tc>
        <w:tc>
          <w:tcPr>
            <w:tcW w:w="158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4746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1614    </w:t>
            </w:r>
          </w:p>
        </w:tc>
      </w:tr>
      <w:tr w:rsidR="001C1184">
        <w:trPr>
          <w:trHeight w:val="223"/>
        </w:trPr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Для хозяйственных целей и выгула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собак                      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  0,3       </w:t>
            </w:r>
          </w:p>
        </w:tc>
        <w:tc>
          <w:tcPr>
            <w:tcW w:w="158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712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242,1    </w:t>
            </w:r>
          </w:p>
        </w:tc>
      </w:tr>
      <w:tr w:rsidR="001C1184">
        <w:trPr>
          <w:trHeight w:val="223"/>
        </w:trPr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Для стоянки автомобилей    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  2,0       </w:t>
            </w:r>
          </w:p>
        </w:tc>
        <w:tc>
          <w:tcPr>
            <w:tcW w:w="158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4746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1614    </w:t>
            </w:r>
          </w:p>
        </w:tc>
      </w:tr>
      <w:tr w:rsidR="001C1184">
        <w:trPr>
          <w:trHeight w:val="223"/>
        </w:trPr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Итого:                     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158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12102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4115,7   </w:t>
            </w:r>
          </w:p>
        </w:tc>
      </w:tr>
    </w:tbl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3"/>
      </w:pPr>
      <w:r>
        <w:t>4.2. Объекты социальной инфраструктуры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Согласно расчетам по демографии, необходимое количество мест детских дошкольных </w:t>
      </w:r>
      <w:r>
        <w:lastRenderedPageBreak/>
        <w:t>учреждений составит 140 мест. Проектом планировки предусмотрено размещение детского сада на 150 мест.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Планируемый земельный участок для проектирования и строительства детского сада вместимостью 150 мест, площадью 0,5 га соответствует требованиям, установленным к земельным участкам для детских дошкольных образовательных учреждений.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Обеспечение планируемой территории общеобразовательными школами предполагается за счет существующих школ, расположенных в пешеходной доступности.</w:t>
      </w:r>
    </w:p>
    <w:p w:rsidR="001C1184" w:rsidRDefault="001C118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3636"/>
        <w:gridCol w:w="1649"/>
        <w:gridCol w:w="1413"/>
        <w:gridCol w:w="2137"/>
      </w:tblGrid>
      <w:tr w:rsidR="001C1184">
        <w:trPr>
          <w:trHeight w:val="223"/>
        </w:trPr>
        <w:tc>
          <w:tcPr>
            <w:tcW w:w="610" w:type="dxa"/>
          </w:tcPr>
          <w:p w:rsidR="001C1184" w:rsidRDefault="001C1184">
            <w:pPr>
              <w:pStyle w:val="ConsPlusNonformat"/>
              <w:jc w:val="both"/>
            </w:pPr>
            <w:r>
              <w:t xml:space="preserve"> N </w:t>
            </w:r>
          </w:p>
          <w:p w:rsidR="001C1184" w:rsidRDefault="001C1184">
            <w:pPr>
              <w:pStyle w:val="ConsPlusNonformat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82" w:type="dxa"/>
          </w:tcPr>
          <w:p w:rsidR="001C1184" w:rsidRDefault="001C1184">
            <w:pPr>
              <w:pStyle w:val="ConsPlusNonformat"/>
              <w:jc w:val="both"/>
            </w:pPr>
            <w:r>
              <w:t xml:space="preserve">  Наименование показателей   </w:t>
            </w:r>
          </w:p>
        </w:tc>
        <w:tc>
          <w:tcPr>
            <w:tcW w:w="1708" w:type="dxa"/>
          </w:tcPr>
          <w:p w:rsidR="001C1184" w:rsidRDefault="001C1184">
            <w:pPr>
              <w:pStyle w:val="ConsPlusNonformat"/>
              <w:jc w:val="both"/>
            </w:pPr>
            <w:r>
              <w:t>Един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змер </w:t>
            </w:r>
          </w:p>
        </w:tc>
        <w:tc>
          <w:tcPr>
            <w:tcW w:w="1464" w:type="dxa"/>
          </w:tcPr>
          <w:p w:rsidR="001C1184" w:rsidRDefault="001C1184">
            <w:pPr>
              <w:pStyle w:val="ConsPlusNonformat"/>
              <w:jc w:val="both"/>
            </w:pPr>
            <w:r>
              <w:t xml:space="preserve">  Кол-во  </w:t>
            </w:r>
          </w:p>
        </w:tc>
        <w:tc>
          <w:tcPr>
            <w:tcW w:w="2196" w:type="dxa"/>
          </w:tcPr>
          <w:p w:rsidR="001C1184" w:rsidRDefault="001C1184">
            <w:pPr>
              <w:pStyle w:val="ConsPlusNonformat"/>
              <w:jc w:val="both"/>
            </w:pPr>
            <w:r>
              <w:t>Сроки реализации</w:t>
            </w:r>
          </w:p>
        </w:tc>
      </w:tr>
      <w:tr w:rsidR="001C1184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378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Детский сад              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мест   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150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I оч. стр-ва  </w:t>
            </w:r>
          </w:p>
        </w:tc>
      </w:tr>
      <w:tr w:rsidR="001C1184">
        <w:trPr>
          <w:trHeight w:val="223"/>
        </w:trPr>
        <w:tc>
          <w:tcPr>
            <w:tcW w:w="610" w:type="dxa"/>
            <w:vMerge w:val="restart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2 </w:t>
            </w:r>
          </w:p>
        </w:tc>
        <w:tc>
          <w:tcPr>
            <w:tcW w:w="3782" w:type="dxa"/>
            <w:vMerge w:val="restart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Магазин смешанных товаров    </w:t>
            </w:r>
          </w:p>
        </w:tc>
        <w:tc>
          <w:tcPr>
            <w:tcW w:w="1708" w:type="dxa"/>
            <w:vMerge w:val="restart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кв. м торг.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   пл.    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150,0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I оч. стр-ва  </w:t>
            </w:r>
          </w:p>
        </w:tc>
      </w:tr>
      <w:tr w:rsidR="001C1184"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90,0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II оч. стр-ва  </w:t>
            </w:r>
          </w:p>
        </w:tc>
      </w:tr>
      <w:tr w:rsidR="001C1184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3 </w:t>
            </w:r>
          </w:p>
        </w:tc>
        <w:tc>
          <w:tcPr>
            <w:tcW w:w="378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Кафе                     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пос. мест 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20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I оч. стр-ва  </w:t>
            </w:r>
          </w:p>
        </w:tc>
      </w:tr>
      <w:tr w:rsidR="001C1184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4 </w:t>
            </w:r>
          </w:p>
        </w:tc>
        <w:tc>
          <w:tcPr>
            <w:tcW w:w="378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Предприятия бытового 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обслуживания </w:t>
            </w:r>
            <w:hyperlink w:anchor="P16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ест 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5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I, II оч. стр-ва</w:t>
            </w:r>
          </w:p>
        </w:tc>
      </w:tr>
      <w:tr w:rsidR="001C1184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6 </w:t>
            </w:r>
          </w:p>
        </w:tc>
        <w:tc>
          <w:tcPr>
            <w:tcW w:w="378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Спортивно-тренажерный зал </w:t>
            </w:r>
            <w:hyperlink w:anchor="P16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кв. м площ.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   пола   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70,0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II оч. стр-ва  </w:t>
            </w:r>
          </w:p>
        </w:tc>
      </w:tr>
      <w:tr w:rsidR="001C1184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7 </w:t>
            </w:r>
          </w:p>
        </w:tc>
        <w:tc>
          <w:tcPr>
            <w:tcW w:w="378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Отделение банка </w:t>
            </w:r>
            <w:hyperlink w:anchor="P16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опер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есто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1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II оч. стр-ва  </w:t>
            </w:r>
          </w:p>
        </w:tc>
      </w:tr>
      <w:tr w:rsidR="001C1184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8 </w:t>
            </w:r>
          </w:p>
        </w:tc>
        <w:tc>
          <w:tcPr>
            <w:tcW w:w="378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Опорный пункт охраны порядка </w:t>
            </w:r>
          </w:p>
          <w:p w:rsidR="001C1184" w:rsidRDefault="001C1184">
            <w:pPr>
              <w:pStyle w:val="ConsPlusNonformat"/>
              <w:jc w:val="both"/>
            </w:pPr>
            <w:hyperlink w:anchor="P16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кв. м общ.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   пл.    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24,0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II оч. стр-ва  </w:t>
            </w:r>
          </w:p>
        </w:tc>
      </w:tr>
      <w:tr w:rsidR="001C1184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9 </w:t>
            </w:r>
          </w:p>
        </w:tc>
        <w:tc>
          <w:tcPr>
            <w:tcW w:w="378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Общественные туалеты         </w:t>
            </w:r>
          </w:p>
        </w:tc>
        <w:tc>
          <w:tcPr>
            <w:tcW w:w="170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прибор   </w:t>
            </w:r>
          </w:p>
        </w:tc>
        <w:tc>
          <w:tcPr>
            <w:tcW w:w="146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 3     </w:t>
            </w:r>
          </w:p>
        </w:tc>
        <w:tc>
          <w:tcPr>
            <w:tcW w:w="219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I, II оч. стр-ва</w:t>
            </w:r>
          </w:p>
        </w:tc>
      </w:tr>
    </w:tbl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>--------------------------------</w:t>
      </w:r>
    </w:p>
    <w:p w:rsidR="001C1184" w:rsidRDefault="001C1184">
      <w:pPr>
        <w:pStyle w:val="ConsPlusNormal"/>
        <w:spacing w:before="220"/>
        <w:ind w:firstLine="540"/>
        <w:jc w:val="both"/>
      </w:pPr>
      <w:bookmarkStart w:id="2" w:name="P168"/>
      <w:bookmarkEnd w:id="2"/>
      <w:r>
        <w:t>&lt;*&gt; Примечание: Данные объекты социальной инфраструктуры предлагается разместить во встроенных помещениях жилой группы.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3"/>
      </w:pPr>
      <w:r>
        <w:t>4.3. Инженерная инфраструктура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Решение по развитию инженерной инфраструктуры в границах проекта планировки территории принято с учетом общей схемы развития объектов инженерной инфраструктуры, утвержденной в составе Генерального </w:t>
      </w:r>
      <w:hyperlink r:id="rId26">
        <w:r>
          <w:rPr>
            <w:color w:val="0000FF"/>
          </w:rPr>
          <w:t>плана</w:t>
        </w:r>
      </w:hyperlink>
      <w:r>
        <w:t>. Границами технических зон инженерных коммуникаций являются красные линии улично-дорожной сети.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4"/>
      </w:pPr>
      <w:r>
        <w:t>Водоснабжение и водоотведение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>Общий максимальный суточный расход водопотребления составит 1798,2 куб. м/сут, в том числе I очередь строительства - 489,4 куб. м/сут. Система водоснабжения территории проектируемой застройки объединенная хозяйственно-питьевая, противопожарная. Водоснабжение предусматривается от проектируемой повысительной насосной станции.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Система канализации проектируемой застройки, хозяйственно-бытовые сточные воды отводятся в городской главный правобережный канализационный коллектор d = 2000 мм.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4"/>
      </w:pPr>
      <w:r>
        <w:t>Электроснабжение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Для составления проектной схемы электроснабжения территории по адресу: г. Воронеж, ул. </w:t>
      </w:r>
      <w:proofErr w:type="gramStart"/>
      <w:r>
        <w:t>Газовая</w:t>
      </w:r>
      <w:proofErr w:type="gramEnd"/>
      <w:r>
        <w:t xml:space="preserve">, пер. Автоматчиков определены уровни электропотребления на два периода </w:t>
      </w:r>
      <w:r>
        <w:lastRenderedPageBreak/>
        <w:t>строительства: I очередь и расчетный срок.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Потребление электроэнергии при числе часов использования максимума в год 5450 составит 14251750 кВт·</w:t>
      </w:r>
      <w:proofErr w:type="gramStart"/>
      <w:r>
        <w:t>ч</w:t>
      </w:r>
      <w:proofErr w:type="gramEnd"/>
      <w:r>
        <w:t>/год, в том числе: на I очередь - 4251000 кВт·ч/год.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Покрытие электрических нагрузок территории по адресу: г. Воронеж, ул. Газовая, пер. Автоматчиков будет осуществляться от 2 проектируемых ТП.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4"/>
      </w:pPr>
      <w:r>
        <w:t>Теплоснабжение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>Тепловая нагрузка на 1 очередь строительства составляет 2,751 мВт/2,36 Гкал/час;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Тепловая нагрузка на расчетный период составляет 8,147 мВт/7,0 Гкал/час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Снабжение теплом района застройки возможно от тепловых сетей ТЭЦ-2 или от проектируемой квартальной котельной мощностью 10 МВт.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3"/>
      </w:pPr>
      <w:r>
        <w:t>4.4. Инженерная подготовка территории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>Рельеф проектируемого микрорайона представлен комплексом балок, по дну которых протекают сезонные ручьи талых вод. Абсолютные отметки изменяются от 113,0 до 121,0 м.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Проектом намечаются следующие мероприятия по инженерной подготовке территории: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вертикальная планировка, организация рельефа;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организация и очистка поверхностного стока.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Схема вертикальной планировки территории определяет высотное положение осей основных проездов. Дорожная сеть запроектирована с учетом рельефа и позволяет обеспечить нормальный водоотвод с проектируемой территории. Вывод воды производится в пониженные места рельефа, в ливневые коллекторы. Предварительная высота дорожных насыпей составляет от 0,2 - 2 м. Уклоны поверхности превышают 5°. Продольные уклоны по жилым улицам приняты в пределах от 4° до 70° в соответствии со СНиП 2.07.01-89* актуализированный.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Для организации площадки под строительство, необходимо провести подсыпку территории до проектируемых отметок. Площадь территории под насыпь составляет 31197 кв. м. Объем грунта - 80000 куб. м. Для организации площадки под коммунальную территорию в районе балки ручья "Дунай" также необходима подсыпка территории.</w:t>
      </w:r>
    </w:p>
    <w:p w:rsidR="001C1184" w:rsidRDefault="001C1184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C118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184" w:rsidRDefault="001C118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184" w:rsidRDefault="001C118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1184" w:rsidRDefault="001C118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C1184" w:rsidRDefault="001C1184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184" w:rsidRDefault="001C1184">
            <w:pPr>
              <w:pStyle w:val="ConsPlusNormal"/>
            </w:pPr>
          </w:p>
        </w:tc>
      </w:tr>
    </w:tbl>
    <w:p w:rsidR="001C1184" w:rsidRDefault="001C1184">
      <w:pPr>
        <w:pStyle w:val="ConsPlusNormal"/>
        <w:spacing w:before="280"/>
        <w:jc w:val="center"/>
        <w:outlineLvl w:val="3"/>
      </w:pPr>
      <w:r>
        <w:t>4.4. Характеристика планируемой территории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>Площадь проектируемого микрорайона в красных линиях - 5,5 га. Интенсивность использования территории жилого микрорайона: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процент застроенности территории составит 22%;</w:t>
      </w:r>
    </w:p>
    <w:p w:rsidR="001C1184" w:rsidRDefault="001C1184">
      <w:pPr>
        <w:pStyle w:val="ConsPlusNormal"/>
        <w:spacing w:before="220"/>
        <w:ind w:firstLine="540"/>
        <w:jc w:val="both"/>
      </w:pPr>
      <w:r>
        <w:t>- плотность жилой застройки - 13,0 тыс. кв. м/</w:t>
      </w:r>
      <w:proofErr w:type="gramStart"/>
      <w:r>
        <w:t>га</w:t>
      </w:r>
      <w:proofErr w:type="gramEnd"/>
      <w:r>
        <w:t>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4"/>
      </w:pPr>
      <w:r>
        <w:t>Баланс проектируемой территории</w:t>
      </w:r>
    </w:p>
    <w:p w:rsidR="001C1184" w:rsidRDefault="001C118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27"/>
        <w:gridCol w:w="3775"/>
        <w:gridCol w:w="1314"/>
        <w:gridCol w:w="938"/>
        <w:gridCol w:w="843"/>
        <w:gridCol w:w="911"/>
        <w:gridCol w:w="827"/>
      </w:tblGrid>
      <w:tr w:rsidR="001C1184">
        <w:trPr>
          <w:trHeight w:val="223"/>
        </w:trPr>
        <w:tc>
          <w:tcPr>
            <w:tcW w:w="854" w:type="dxa"/>
            <w:vMerge w:val="restart"/>
          </w:tcPr>
          <w:p w:rsidR="001C1184" w:rsidRDefault="001C1184">
            <w:pPr>
              <w:pStyle w:val="ConsPlusNonformat"/>
              <w:jc w:val="both"/>
            </w:pPr>
            <w:r>
              <w:lastRenderedPageBreak/>
              <w:t xml:space="preserve">  N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4148" w:type="dxa"/>
            <w:vMerge w:val="restart"/>
          </w:tcPr>
          <w:p w:rsidR="001C1184" w:rsidRDefault="001C1184">
            <w:pPr>
              <w:pStyle w:val="ConsPlusNonformat"/>
              <w:jc w:val="both"/>
            </w:pPr>
            <w:r>
              <w:t xml:space="preserve">           Территория           </w:t>
            </w:r>
          </w:p>
        </w:tc>
        <w:tc>
          <w:tcPr>
            <w:tcW w:w="1342" w:type="dxa"/>
            <w:vMerge w:val="restart"/>
          </w:tcPr>
          <w:p w:rsidR="001C1184" w:rsidRDefault="001C1184">
            <w:pPr>
              <w:pStyle w:val="ConsPlusNonformat"/>
              <w:jc w:val="both"/>
            </w:pPr>
            <w:r>
              <w:t xml:space="preserve"> Единица </w:t>
            </w:r>
          </w:p>
          <w:p w:rsidR="001C1184" w:rsidRDefault="001C1184">
            <w:pPr>
              <w:pStyle w:val="ConsPlusNonformat"/>
              <w:jc w:val="both"/>
            </w:pPr>
            <w:r>
              <w:t>измерения</w:t>
            </w:r>
          </w:p>
        </w:tc>
        <w:tc>
          <w:tcPr>
            <w:tcW w:w="1830" w:type="dxa"/>
            <w:gridSpan w:val="2"/>
          </w:tcPr>
          <w:p w:rsidR="001C1184" w:rsidRDefault="001C1184">
            <w:pPr>
              <w:pStyle w:val="ConsPlusNonformat"/>
              <w:jc w:val="both"/>
            </w:pPr>
            <w:r>
              <w:t>Существующее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положение  </w:t>
            </w:r>
          </w:p>
        </w:tc>
        <w:tc>
          <w:tcPr>
            <w:tcW w:w="1830" w:type="dxa"/>
            <w:gridSpan w:val="2"/>
          </w:tcPr>
          <w:p w:rsidR="001C1184" w:rsidRDefault="001C1184">
            <w:pPr>
              <w:pStyle w:val="ConsPlusNonformat"/>
              <w:jc w:val="both"/>
            </w:pPr>
            <w:r>
              <w:t xml:space="preserve"> Проектное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  решение   </w:t>
            </w:r>
          </w:p>
        </w:tc>
      </w:tr>
      <w:tr w:rsidR="001C1184"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1C1184" w:rsidRDefault="001C1184">
            <w:pPr>
              <w:pStyle w:val="ConsPlusNormal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кол-во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кол-во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% 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Территория </w:t>
            </w:r>
            <w:proofErr w:type="gramStart"/>
            <w:r>
              <w:t>проектируемого</w:t>
            </w:r>
            <w:proofErr w:type="gramEnd"/>
            <w:r>
              <w:t xml:space="preserve">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участка - всего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7,4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>100,0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7,4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>100,0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в том числе: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>Территория микрорайона в красных</w:t>
            </w:r>
          </w:p>
          <w:p w:rsidR="001C1184" w:rsidRDefault="001C1184">
            <w:pPr>
              <w:pStyle w:val="ConsPlusNonformat"/>
              <w:jc w:val="both"/>
            </w:pPr>
            <w:proofErr w:type="gramStart"/>
            <w:r>
              <w:t>линиях</w:t>
            </w:r>
            <w:proofErr w:type="gramEnd"/>
            <w:r>
              <w:t xml:space="preserve">, всего: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5,5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74,3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5,5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74,3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в том числе: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1 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Территория жилой многоэтажной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застройки  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0,6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8,1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5,0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67,6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1.1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Территория общего пользования -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всего      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2,65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35,8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в том числе: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1.1.1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участок детского сада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0,5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6,8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1.1.2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участки зеленых насаждений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общего пользования и </w:t>
            </w:r>
            <w:proofErr w:type="gramStart"/>
            <w:r>
              <w:t>спортивных</w:t>
            </w:r>
            <w:proofErr w:type="gramEnd"/>
            <w:r>
              <w:t xml:space="preserve">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сооружений 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1,1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14,9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1.1.3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участки объектов        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культурно-бытового и    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коммунального обслуживания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-*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1.1.4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проезды    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1,0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13,5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1.1.5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автостоянки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0,02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0,3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>1.1.6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территория </w:t>
            </w:r>
            <w:proofErr w:type="gramStart"/>
            <w:r>
              <w:t>общественно-деловой</w:t>
            </w:r>
            <w:proofErr w:type="gramEnd"/>
            <w:r>
              <w:t xml:space="preserve">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застройки  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0,03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0,4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2 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Территория </w:t>
            </w:r>
            <w:proofErr w:type="gramStart"/>
            <w:r>
              <w:t>коммунального</w:t>
            </w:r>
            <w:proofErr w:type="gramEnd"/>
            <w:r>
              <w:t xml:space="preserve">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назначения - всего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0,5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6,7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в том числе: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2.1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участки автостоянок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0,5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6,7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3 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proofErr w:type="gramStart"/>
            <w:r>
              <w:t xml:space="preserve">Прочие территории (в границах   </w:t>
            </w:r>
            <w:proofErr w:type="gramEnd"/>
          </w:p>
          <w:p w:rsidR="001C1184" w:rsidRDefault="001C1184">
            <w:pPr>
              <w:pStyle w:val="ConsPlusNonformat"/>
              <w:jc w:val="both"/>
            </w:pPr>
            <w:r>
              <w:t xml:space="preserve">красных линий)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4,9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66,2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5"/>
            </w:pPr>
            <w:r>
              <w:t xml:space="preserve">  - 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в том числе: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3.1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земельный участок </w:t>
            </w:r>
            <w:proofErr w:type="gramStart"/>
            <w:r>
              <w:t>под</w:t>
            </w:r>
            <w:proofErr w:type="gramEnd"/>
            <w:r>
              <w:t xml:space="preserve">   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многоэтажную жилую застройку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3,7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50,0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3.2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земельный участок </w:t>
            </w:r>
            <w:proofErr w:type="gramStart"/>
            <w:r>
              <w:t>под</w:t>
            </w:r>
            <w:proofErr w:type="gramEnd"/>
            <w:r>
              <w:t xml:space="preserve">   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многоуровневую стоянку  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автомобилей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1,1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14,9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3.3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прочие     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0,1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1,3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Территория за границами красных </w:t>
            </w:r>
          </w:p>
          <w:p w:rsidR="001C1184" w:rsidRDefault="001C1184">
            <w:pPr>
              <w:pStyle w:val="ConsPlusNonformat"/>
              <w:jc w:val="both"/>
            </w:pPr>
            <w:r>
              <w:t>линий проектируемого микрорайона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1,9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25,7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 1,9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  <w:outlineLvl w:val="4"/>
            </w:pPr>
            <w:r>
              <w:t xml:space="preserve">25,7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в том числе: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lastRenderedPageBreak/>
              <w:t xml:space="preserve">  2 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территория </w:t>
            </w:r>
            <w:proofErr w:type="gramStart"/>
            <w:r>
              <w:t>коммунального</w:t>
            </w:r>
            <w:proofErr w:type="gramEnd"/>
            <w:r>
              <w:t xml:space="preserve">        </w:t>
            </w:r>
          </w:p>
          <w:p w:rsidR="001C1184" w:rsidRDefault="001C1184">
            <w:pPr>
              <w:pStyle w:val="ConsPlusNonformat"/>
              <w:jc w:val="both"/>
            </w:pPr>
            <w:r>
              <w:t xml:space="preserve">назначения  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0,9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12,2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в том числе:     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участки автостоянок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0,9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12,2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3 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территория магистралей и улиц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0,6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8,1 </w:t>
            </w:r>
          </w:p>
        </w:tc>
      </w:tr>
      <w:tr w:rsidR="001C1184">
        <w:trPr>
          <w:trHeight w:val="223"/>
        </w:trPr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4  </w:t>
            </w:r>
          </w:p>
        </w:tc>
        <w:tc>
          <w:tcPr>
            <w:tcW w:w="4148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прочие территории               </w:t>
            </w:r>
          </w:p>
        </w:tc>
        <w:tc>
          <w:tcPr>
            <w:tcW w:w="1342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1,9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25,7 </w:t>
            </w:r>
          </w:p>
        </w:tc>
        <w:tc>
          <w:tcPr>
            <w:tcW w:w="976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0,4  </w:t>
            </w:r>
          </w:p>
        </w:tc>
        <w:tc>
          <w:tcPr>
            <w:tcW w:w="854" w:type="dxa"/>
            <w:tcBorders>
              <w:top w:val="nil"/>
            </w:tcBorders>
          </w:tcPr>
          <w:p w:rsidR="001C1184" w:rsidRDefault="001C1184">
            <w:pPr>
              <w:pStyle w:val="ConsPlusNonformat"/>
              <w:jc w:val="both"/>
            </w:pPr>
            <w:r>
              <w:t xml:space="preserve"> 5,4 </w:t>
            </w:r>
          </w:p>
        </w:tc>
      </w:tr>
    </w:tbl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>Описание и обоснование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территории, изложены в материалах по обоснованию проекта планировки.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center"/>
        <w:outlineLvl w:val="2"/>
      </w:pPr>
      <w:r>
        <w:t xml:space="preserve">6. Защита территории от чрезвычайных ситуаций </w:t>
      </w:r>
      <w:proofErr w:type="gramStart"/>
      <w:r>
        <w:t>природного</w:t>
      </w:r>
      <w:proofErr w:type="gramEnd"/>
      <w:r>
        <w:t xml:space="preserve"> и</w:t>
      </w:r>
    </w:p>
    <w:p w:rsidR="001C1184" w:rsidRDefault="001C1184">
      <w:pPr>
        <w:pStyle w:val="ConsPlusNormal"/>
        <w:jc w:val="center"/>
      </w:pPr>
      <w:r>
        <w:t xml:space="preserve">техногенного характера, проведение мероприятий </w:t>
      </w:r>
      <w:proofErr w:type="gramStart"/>
      <w:r>
        <w:t>по</w:t>
      </w:r>
      <w:proofErr w:type="gramEnd"/>
    </w:p>
    <w:p w:rsidR="001C1184" w:rsidRDefault="001C1184">
      <w:pPr>
        <w:pStyle w:val="ConsPlusNormal"/>
        <w:jc w:val="center"/>
      </w:pPr>
      <w:r>
        <w:t>гражданской обороне и обеспечению пожарной безопасности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проведение мероприятий по гражданской обороне и обеспечению пожарной безопасности должны производиться в соответствии с положениями Генерального </w:t>
      </w:r>
      <w:hyperlink r:id="rId27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right"/>
      </w:pPr>
      <w:r>
        <w:t>Руководитель управления</w:t>
      </w:r>
    </w:p>
    <w:p w:rsidR="001C1184" w:rsidRDefault="001C1184">
      <w:pPr>
        <w:pStyle w:val="ConsPlusNormal"/>
        <w:jc w:val="right"/>
      </w:pPr>
      <w:r>
        <w:t>главного архитектора городского округа</w:t>
      </w:r>
    </w:p>
    <w:p w:rsidR="001C1184" w:rsidRDefault="001C1184">
      <w:pPr>
        <w:pStyle w:val="ConsPlusNormal"/>
        <w:jc w:val="right"/>
      </w:pPr>
      <w:r>
        <w:t>А.В.ШЕВЕЛЕВ</w:t>
      </w: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jc w:val="both"/>
      </w:pPr>
    </w:p>
    <w:p w:rsidR="001C1184" w:rsidRDefault="001C118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60E8" w:rsidRDefault="00A960E8">
      <w:bookmarkStart w:id="3" w:name="_GoBack"/>
      <w:bookmarkEnd w:id="3"/>
    </w:p>
    <w:sectPr w:rsidR="00A960E8" w:rsidSect="00010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184"/>
    <w:rsid w:val="001C1184"/>
    <w:rsid w:val="00A9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11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1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11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11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1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11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53808" TargetMode="External"/><Relationship Id="rId13" Type="http://schemas.openxmlformats.org/officeDocument/2006/relationships/hyperlink" Target="https://login.consultant.ru/link/?req=doc&amp;base=RLAW181&amp;n=49539&amp;dst=100037" TargetMode="External"/><Relationship Id="rId18" Type="http://schemas.openxmlformats.org/officeDocument/2006/relationships/hyperlink" Target="https://login.consultant.ru/link/?req=doc&amp;base=RLAW181&amp;n=49539&amp;dst=101286" TargetMode="External"/><Relationship Id="rId26" Type="http://schemas.openxmlformats.org/officeDocument/2006/relationships/hyperlink" Target="https://login.consultant.ru/link/?req=doc&amp;base=RLAW181&amp;n=29309&amp;dst=10000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29309&amp;dst=100005" TargetMode="External"/><Relationship Id="rId7" Type="http://schemas.openxmlformats.org/officeDocument/2006/relationships/hyperlink" Target="https://login.consultant.ru/link/?req=doc&amp;base=LAW&amp;n=154813" TargetMode="External"/><Relationship Id="rId12" Type="http://schemas.openxmlformats.org/officeDocument/2006/relationships/hyperlink" Target="https://login.consultant.ru/link/?req=doc&amp;base=RLAW181&amp;n=31140&amp;dst=100014" TargetMode="External"/><Relationship Id="rId17" Type="http://schemas.openxmlformats.org/officeDocument/2006/relationships/hyperlink" Target="https://login.consultant.ru/link/?req=doc&amp;base=RLAW181&amp;n=29309&amp;dst=100005" TargetMode="External"/><Relationship Id="rId25" Type="http://schemas.openxmlformats.org/officeDocument/2006/relationships/hyperlink" Target="https://login.consultant.ru/link/?req=doc&amp;base=RLAW181&amp;n=51741&amp;dst=1001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51741&amp;dst=100009" TargetMode="External"/><Relationship Id="rId20" Type="http://schemas.openxmlformats.org/officeDocument/2006/relationships/hyperlink" Target="https://login.consultant.ru/link/?req=doc&amp;base=RLAW181&amp;n=49539&amp;dst=100037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7332" TargetMode="External"/><Relationship Id="rId11" Type="http://schemas.openxmlformats.org/officeDocument/2006/relationships/hyperlink" Target="https://login.consultant.ru/link/?req=doc&amp;base=RLAW181&amp;n=29309&amp;dst=100005" TargetMode="External"/><Relationship Id="rId24" Type="http://schemas.openxmlformats.org/officeDocument/2006/relationships/hyperlink" Target="https://login.consultant.ru/link/?req=doc&amp;base=RLAW181&amp;n=29309&amp;dst=100005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9625&amp;dst=100009" TargetMode="External"/><Relationship Id="rId23" Type="http://schemas.openxmlformats.org/officeDocument/2006/relationships/hyperlink" Target="https://login.consultant.ru/link/?req=doc&amp;base=RLAW181&amp;n=29309&amp;dst=100005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50688" TargetMode="External"/><Relationship Id="rId19" Type="http://schemas.openxmlformats.org/officeDocument/2006/relationships/hyperlink" Target="https://login.consultant.ru/link/?req=doc&amp;base=RLAW181&amp;n=49539&amp;dst=1014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29309&amp;dst=100005" TargetMode="External"/><Relationship Id="rId14" Type="http://schemas.openxmlformats.org/officeDocument/2006/relationships/hyperlink" Target="https://login.consultant.ru/link/?req=doc&amp;base=LAW&amp;n=147332" TargetMode="External"/><Relationship Id="rId22" Type="http://schemas.openxmlformats.org/officeDocument/2006/relationships/hyperlink" Target="https://login.consultant.ru/link/?req=doc&amp;base=RLAW181&amp;n=51741&amp;dst=100084" TargetMode="External"/><Relationship Id="rId27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3534</Words>
  <Characters>20145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2026-02-24T09:31:00Z</dcterms:created>
  <dcterms:modified xsi:type="dcterms:W3CDTF">2026-02-24T09:32:00Z</dcterms:modified>
</cp:coreProperties>
</file>